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17</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December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David Trigg (alternate), Pam Gunnell,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Rufus Brown (alternate)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Ellie Oberink - Flycatcher LLC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numPr>
          <w:ilvl w:val="0"/>
          <w:numId w:val="2"/>
        </w:numPr>
        <w:rPr>
          <w:sz w:val="24"/>
          <w:szCs w:val="24"/>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u w:color="111111"/>
          <w:shd w:val="clear" w:color="auto" w:fill="ffffff"/>
          <w:rtl w:val="0"/>
          <w:lang w:val="en-US"/>
        </w:rPr>
        <w:t xml:space="preserve">Chairman </w:t>
      </w:r>
      <w:r>
        <w:rPr>
          <w:rFonts w:ascii="Times New Roman" w:hAnsi="Times New Roman"/>
          <w:u w:color="111111"/>
          <w:shd w:val="clear" w:color="auto" w:fill="ffffff"/>
          <w:rtl w:val="0"/>
          <w:lang w:val="en-US"/>
        </w:rPr>
        <w:t xml:space="preserve">Bob Trabona </w:t>
      </w:r>
      <w:r>
        <w:rPr>
          <w:rFonts w:ascii="Times New Roman" w:hAnsi="Times New Roman"/>
          <w:u w:color="111111"/>
          <w:shd w:val="clear" w:color="auto" w:fill="ffffff"/>
          <w:rtl w:val="0"/>
          <w:lang w:val="en-US"/>
        </w:rPr>
        <w:t>called the Planning Board meeting to order at 7:0</w:t>
      </w:r>
      <w:r>
        <w:rPr>
          <w:rFonts w:ascii="Times New Roman" w:hAnsi="Times New Roman"/>
          <w:u w:color="111111"/>
          <w:shd w:val="clear" w:color="auto" w:fill="ffffff"/>
          <w:rtl w:val="0"/>
          <w:lang w:val="en-US"/>
        </w:rPr>
        <w:t>2</w:t>
      </w:r>
      <w:r>
        <w:rPr>
          <w:rFonts w:ascii="Times New Roman" w:hAnsi="Times New Roman"/>
          <w:u w:color="111111"/>
          <w:shd w:val="clear" w:color="auto" w:fill="ffffff"/>
          <w:rtl w:val="0"/>
          <w:lang w:val="en-US"/>
        </w:rPr>
        <w:t>.</w:t>
      </w: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3"/>
        </w:numPr>
        <w:rPr>
          <w:rFonts w:ascii="Times New Roman" w:hAnsi="Times New Roman"/>
          <w:sz w:val="24"/>
          <w:szCs w:val="24"/>
          <w:lang w:val="en-US"/>
        </w:rPr>
      </w:pPr>
      <w:r>
        <w:rPr>
          <w:rFonts w:ascii="Times New Roman" w:hAnsi="Times New Roman"/>
          <w:sz w:val="24"/>
          <w:szCs w:val="24"/>
          <w:rtl w:val="0"/>
          <w:lang w:val="en-US"/>
        </w:rPr>
        <w:t>Keith Turley/Holly O</w:t>
      </w:r>
      <w:r>
        <w:rPr>
          <w:rFonts w:ascii="Times New Roman" w:hAnsi="Times New Roman" w:hint="default"/>
          <w:sz w:val="24"/>
          <w:szCs w:val="24"/>
          <w:rtl w:val="0"/>
          <w:lang w:val="en-US"/>
        </w:rPr>
        <w:t>’</w:t>
      </w:r>
      <w:r>
        <w:rPr>
          <w:rFonts w:ascii="Times New Roman" w:hAnsi="Times New Roman"/>
          <w:sz w:val="24"/>
          <w:szCs w:val="24"/>
          <w:rtl w:val="0"/>
          <w:lang w:val="en-US"/>
        </w:rPr>
        <w:t>Neill-Turley(U13/48) Applicant: Flycatcher, LLC. Application for the replacement of a commercial dock with pier, ramp, platform, building and float located at 138 Old Schoolhouse Road. Ellie reported there was a commercial dock/pier in the general development district that was destroyed in the 1/2024 storm. The goal is to replace all that was there in kind, using the same footprint. The replacement structure will be raised 3</w:t>
      </w:r>
      <w:r>
        <w:rPr>
          <w:rFonts w:ascii="Times New Roman" w:hAnsi="Times New Roman" w:hint="default"/>
          <w:sz w:val="24"/>
          <w:szCs w:val="24"/>
          <w:rtl w:val="0"/>
          <w:lang w:val="en-US"/>
        </w:rPr>
        <w:t>’</w:t>
      </w:r>
      <w:r>
        <w:rPr>
          <w:rFonts w:ascii="Times New Roman" w:hAnsi="Times New Roman"/>
          <w:sz w:val="24"/>
          <w:szCs w:val="24"/>
          <w:rtl w:val="0"/>
          <w:lang w:val="en-US"/>
        </w:rPr>
        <w:t>. All pilings will be pinned to ledge. Ellie indicated the service building will be used for storage of fishing gear, etc. The documents indicate the shed is 12</w:t>
      </w:r>
      <w:r>
        <w:rPr>
          <w:rFonts w:ascii="Times New Roman" w:hAnsi="Times New Roman" w:hint="default"/>
          <w:sz w:val="24"/>
          <w:szCs w:val="24"/>
          <w:rtl w:val="0"/>
          <w:lang w:val="en-US"/>
        </w:rPr>
        <w:t>’</w:t>
      </w:r>
      <w:r>
        <w:rPr>
          <w:rFonts w:ascii="Times New Roman" w:hAnsi="Times New Roman"/>
          <w:sz w:val="24"/>
          <w:szCs w:val="24"/>
          <w:rtl w:val="0"/>
          <w:lang w:val="en-US"/>
        </w:rPr>
        <w:t>x22</w:t>
      </w:r>
      <w:r>
        <w:rPr>
          <w:rFonts w:ascii="Times New Roman" w:hAnsi="Times New Roman" w:hint="default"/>
          <w:sz w:val="24"/>
          <w:szCs w:val="24"/>
          <w:rtl w:val="0"/>
          <w:lang w:val="en-US"/>
        </w:rPr>
        <w:t>’</w:t>
      </w:r>
      <w:r>
        <w:rPr>
          <w:rFonts w:ascii="Times New Roman" w:hAnsi="Times New Roman"/>
          <w:sz w:val="24"/>
          <w:szCs w:val="24"/>
          <w:rtl w:val="0"/>
          <w:lang w:val="en-US"/>
        </w:rPr>
        <w:t>. Ellie reported it will be 14</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tall. </w:t>
      </w:r>
      <w:r>
        <w:rPr>
          <w:rFonts w:ascii="Times New Roman" w:hAnsi="Times New Roman"/>
          <w:b w:val="1"/>
          <w:bCs w:val="1"/>
          <w:sz w:val="24"/>
          <w:szCs w:val="24"/>
          <w:u w:val="single"/>
          <w:rtl w:val="0"/>
          <w:lang w:val="en-US"/>
        </w:rPr>
        <w:t>There is no information in the application regarding the height of the building. The floor plan for the building must be included in the application. It is required own the plan and elevation of the proposed structure.</w:t>
      </w:r>
      <w:r>
        <w:rPr>
          <w:rFonts w:ascii="Times New Roman" w:hAnsi="Times New Roman"/>
          <w:sz w:val="24"/>
          <w:szCs w:val="24"/>
          <w:rtl w:val="0"/>
          <w:lang w:val="en-US"/>
        </w:rPr>
        <w:t xml:space="preserve"> Likewise it is unclear if the use of the building is </w:t>
      </w:r>
      <w:r>
        <w:rPr>
          <w:rFonts w:ascii="Times New Roman" w:hAnsi="Times New Roman" w:hint="default"/>
          <w:sz w:val="24"/>
          <w:szCs w:val="24"/>
          <w:rtl w:val="0"/>
          <w:lang w:val="en-US"/>
        </w:rPr>
        <w:t>“</w:t>
      </w:r>
      <w:r>
        <w:rPr>
          <w:rFonts w:ascii="Times New Roman" w:hAnsi="Times New Roman"/>
          <w:sz w:val="24"/>
          <w:szCs w:val="24"/>
          <w:rtl w:val="0"/>
          <w:lang w:val="en-US"/>
        </w:rPr>
        <w:t>water dependent</w:t>
      </w:r>
      <w:r>
        <w:rPr>
          <w:rFonts w:ascii="Times New Roman" w:hAnsi="Times New Roman" w:hint="default"/>
          <w:sz w:val="24"/>
          <w:szCs w:val="24"/>
          <w:rtl w:val="0"/>
          <w:lang w:val="en-US"/>
        </w:rPr>
        <w:t>”</w:t>
      </w:r>
      <w:r>
        <w:rPr>
          <w:rFonts w:ascii="Times New Roman" w:hAnsi="Times New Roman"/>
          <w:sz w:val="24"/>
          <w:szCs w:val="24"/>
          <w:rtl w:val="0"/>
          <w:lang w:val="en-US"/>
        </w:rPr>
        <w:t xml:space="preserve">. Specifically, will it be used to store commercial equipment or items unrelated? </w:t>
      </w:r>
      <w:r>
        <w:rPr>
          <w:rFonts w:ascii="Times New Roman" w:hAnsi="Times New Roman"/>
          <w:b w:val="1"/>
          <w:bCs w:val="1"/>
          <w:sz w:val="24"/>
          <w:szCs w:val="24"/>
          <w:u w:val="single"/>
          <w:rtl w:val="0"/>
          <w:lang w:val="en-US"/>
        </w:rPr>
        <w:t>A letter from the owners was requested to outline previous and projected use of the building</w:t>
      </w:r>
      <w:r>
        <w:rPr>
          <w:rFonts w:ascii="Times New Roman" w:hAnsi="Times New Roman"/>
          <w:sz w:val="24"/>
          <w:szCs w:val="24"/>
          <w:u w:val="single"/>
          <w:rtl w:val="0"/>
          <w:lang w:val="en-US"/>
        </w:rPr>
        <w:t>.</w:t>
      </w:r>
      <w:r>
        <w:rPr>
          <w:rFonts w:ascii="Times New Roman" w:hAnsi="Times New Roman"/>
          <w:sz w:val="24"/>
          <w:szCs w:val="24"/>
          <w:rtl w:val="0"/>
          <w:lang w:val="en-US"/>
        </w:rPr>
        <w:t xml:space="preserve"> It is unclear from what is submitted whether or not the building is in part on land, or completely on the pier. </w:t>
      </w:r>
      <w:r>
        <w:rPr>
          <w:rFonts w:ascii="Times New Roman" w:hAnsi="Times New Roman"/>
          <w:sz w:val="24"/>
          <w:szCs w:val="24"/>
          <w:rtl w:val="0"/>
          <w:lang w:val="en-US"/>
        </w:rPr>
        <w:t>Ellie reported the building is partially on the upland and partially on the pier. A picture from Google Earth from 10/2021 shows the building off the pier completely. I</w:t>
      </w:r>
      <w:r>
        <w:rPr>
          <w:rFonts w:ascii="Times New Roman" w:hAnsi="Times New Roman"/>
          <w:sz w:val="24"/>
          <w:szCs w:val="24"/>
          <w:rtl w:val="0"/>
          <w:lang w:val="en-US"/>
        </w:rPr>
        <w:t xml:space="preserve">t can not be determined at this time if the shed is part of the dock/pier project, or if it must be considered an accessory structure. The structure is in the velocity flood zone. </w:t>
      </w:r>
      <w:r>
        <w:rPr>
          <w:rFonts w:ascii="Times New Roman" w:hAnsi="Times New Roman"/>
          <w:b w:val="1"/>
          <w:bCs w:val="1"/>
          <w:sz w:val="24"/>
          <w:szCs w:val="24"/>
          <w:u w:val="single"/>
          <w:rtl w:val="0"/>
          <w:lang w:val="en-US"/>
        </w:rPr>
        <w:t>Therefore,</w:t>
      </w:r>
      <w:r>
        <w:rPr>
          <w:rFonts w:ascii="Times New Roman" w:hAnsi="Times New Roman"/>
          <w:b w:val="1"/>
          <w:bCs w:val="1"/>
          <w:sz w:val="24"/>
          <w:szCs w:val="24"/>
          <w:u w:val="single"/>
          <w:rtl w:val="0"/>
          <w:lang w:val="en-US"/>
        </w:rPr>
        <w:t xml:space="preserve"> </w:t>
      </w:r>
      <w:r>
        <w:rPr>
          <w:rFonts w:ascii="Times New Roman" w:hAnsi="Times New Roman"/>
          <w:b w:val="1"/>
          <w:bCs w:val="1"/>
          <w:sz w:val="24"/>
          <w:szCs w:val="24"/>
          <w:u w:val="single"/>
          <w:rtl w:val="0"/>
          <w:lang w:val="en-US"/>
        </w:rPr>
        <w:t xml:space="preserve">it </w:t>
      </w:r>
      <w:r>
        <w:rPr>
          <w:rFonts w:ascii="Times New Roman" w:hAnsi="Times New Roman"/>
          <w:b w:val="1"/>
          <w:bCs w:val="1"/>
          <w:sz w:val="24"/>
          <w:szCs w:val="24"/>
          <w:u w:val="single"/>
          <w:rtl w:val="0"/>
          <w:lang w:val="en-US"/>
        </w:rPr>
        <w:t>was requested a licensed professional determine the heights of the structure using the North American Datum of 1988. On the elevation plan it should indicate the specific mark as the base elevation according to the 1988 North American Datum</w:t>
      </w:r>
      <w:r>
        <w:rPr>
          <w:rFonts w:ascii="Times New Roman" w:hAnsi="Times New Roman"/>
          <w:sz w:val="24"/>
          <w:szCs w:val="24"/>
          <w:u w:val="single"/>
          <w:rtl w:val="0"/>
          <w:lang w:val="en-US"/>
        </w:rPr>
        <w:t>.</w:t>
      </w:r>
      <w:r>
        <w:rPr>
          <w:rFonts w:ascii="Times New Roman" w:hAnsi="Times New Roman"/>
          <w:sz w:val="24"/>
          <w:szCs w:val="24"/>
          <w:rtl w:val="0"/>
          <w:lang w:val="en-US"/>
        </w:rPr>
        <w:t xml:space="preserve"> The application indicates this is </w:t>
      </w:r>
      <w:r>
        <w:rPr>
          <w:rFonts w:ascii="Times New Roman" w:hAnsi="Times New Roman" w:hint="default"/>
          <w:sz w:val="24"/>
          <w:szCs w:val="24"/>
          <w:rtl w:val="0"/>
          <w:lang w:val="en-US"/>
        </w:rPr>
        <w:t>“</w:t>
      </w:r>
      <w:r>
        <w:rPr>
          <w:rFonts w:ascii="Times New Roman" w:hAnsi="Times New Roman"/>
          <w:sz w:val="24"/>
          <w:szCs w:val="24"/>
          <w:rtl w:val="0"/>
          <w:lang w:val="en-US"/>
        </w:rPr>
        <w:t>new construction</w:t>
      </w:r>
      <w:r>
        <w:rPr>
          <w:rFonts w:ascii="Times New Roman" w:hAnsi="Times New Roman" w:hint="default"/>
          <w:sz w:val="24"/>
          <w:szCs w:val="24"/>
          <w:rtl w:val="0"/>
          <w:lang w:val="en-US"/>
        </w:rPr>
        <w:t>”</w:t>
      </w:r>
      <w:r>
        <w:rPr>
          <w:rFonts w:ascii="Times New Roman" w:hAnsi="Times New Roman"/>
          <w:sz w:val="24"/>
          <w:szCs w:val="24"/>
          <w:rtl w:val="0"/>
          <w:lang w:val="en-US"/>
        </w:rPr>
        <w:t xml:space="preserve">. However, it is also referred to as a </w:t>
      </w:r>
      <w:r>
        <w:rPr>
          <w:rFonts w:ascii="Times New Roman" w:hAnsi="Times New Roman" w:hint="default"/>
          <w:sz w:val="24"/>
          <w:szCs w:val="24"/>
          <w:rtl w:val="0"/>
          <w:lang w:val="en-US"/>
        </w:rPr>
        <w:t>“</w:t>
      </w:r>
      <w:r>
        <w:rPr>
          <w:rFonts w:ascii="Times New Roman" w:hAnsi="Times New Roman"/>
          <w:sz w:val="24"/>
          <w:szCs w:val="24"/>
          <w:rtl w:val="0"/>
          <w:lang w:val="en-US"/>
        </w:rPr>
        <w:t>replacement</w:t>
      </w:r>
      <w:r>
        <w:rPr>
          <w:rFonts w:ascii="Times New Roman" w:hAnsi="Times New Roman" w:hint="default"/>
          <w:sz w:val="24"/>
          <w:szCs w:val="24"/>
          <w:rtl w:val="0"/>
          <w:lang w:val="en-US"/>
        </w:rPr>
        <w:t>”</w:t>
      </w:r>
      <w:r>
        <w:rPr>
          <w:rFonts w:ascii="Times New Roman" w:hAnsi="Times New Roman"/>
          <w:sz w:val="24"/>
          <w:szCs w:val="24"/>
          <w:rtl w:val="0"/>
          <w:lang w:val="en-US"/>
        </w:rPr>
        <w:t xml:space="preserve">. Because this application is being submitted more than 18 months after the January 2024 storm, it is outside of the time frame allowed for a replacement due to storm damage, and therefore must be considered and treated as new construction. </w:t>
      </w:r>
      <w:r>
        <w:rPr>
          <w:rFonts w:ascii="Times New Roman" w:hAnsi="Times New Roman"/>
          <w:b w:val="1"/>
          <w:bCs w:val="1"/>
          <w:sz w:val="24"/>
          <w:szCs w:val="24"/>
          <w:u w:val="single"/>
          <w:rtl w:val="0"/>
          <w:lang w:val="en-US"/>
        </w:rPr>
        <w:t>Distance of the pier/dock to the lot lines - adjacent property and Five Island Fuel are needed on the plot plan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plot plan does not show the size and location of existing structures. </w:t>
      </w:r>
      <w:r>
        <w:rPr>
          <w:rFonts w:ascii="Times New Roman" w:hAnsi="Times New Roman"/>
          <w:b w:val="1"/>
          <w:bCs w:val="1"/>
          <w:sz w:val="24"/>
          <w:szCs w:val="24"/>
          <w:u w:val="single"/>
          <w:rtl w:val="0"/>
          <w:lang w:val="en-US"/>
        </w:rPr>
        <w:t>Two plot plans are required as part of the application - one must show what was there before the storm(with dimensions), and one must show what is proposed (with dimensions)</w:t>
      </w:r>
      <w:r>
        <w:rPr>
          <w:rFonts w:ascii="Times New Roman" w:hAnsi="Times New Roman"/>
          <w:sz w:val="24"/>
          <w:szCs w:val="24"/>
          <w:u w:val="single"/>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Mike checked the DEP website and found the application was submitted on 11/3/25 and completed on 11/10/25. That document is now part of the file. The elevation numbers are shown on the </w:t>
      </w:r>
      <w:r>
        <w:rPr>
          <w:rFonts w:ascii="Times New Roman" w:hAnsi="Times New Roman" w:hint="default"/>
          <w:sz w:val="24"/>
          <w:szCs w:val="24"/>
          <w:rtl w:val="0"/>
          <w:lang w:val="en-US"/>
        </w:rPr>
        <w:t>“</w:t>
      </w:r>
      <w:r>
        <w:rPr>
          <w:rFonts w:ascii="Times New Roman" w:hAnsi="Times New Roman"/>
          <w:sz w:val="24"/>
          <w:szCs w:val="24"/>
          <w:rtl w:val="0"/>
          <w:lang w:val="en-US"/>
        </w:rPr>
        <w:t>proposed impact</w:t>
      </w:r>
      <w:r>
        <w:rPr>
          <w:rFonts w:ascii="Times New Roman" w:hAnsi="Times New Roman" w:hint="default"/>
          <w:sz w:val="24"/>
          <w:szCs w:val="24"/>
          <w:rtl w:val="0"/>
          <w:lang w:val="en-US"/>
        </w:rPr>
        <w:t xml:space="preserve">” </w:t>
      </w:r>
      <w:r>
        <w:rPr>
          <w:rFonts w:ascii="Times New Roman" w:hAnsi="Times New Roman"/>
          <w:sz w:val="24"/>
          <w:szCs w:val="24"/>
          <w:rtl w:val="0"/>
          <w:lang w:val="en-US"/>
        </w:rPr>
        <w:t>document. Section 15-C sub paragraph 5 in the Shoreland Zoning Ordinance indicates a structure shall be no larger than necessary. For this reason it is necessary for the owner to identify the scope of what has occurred in the past with this structure and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anticipated use. </w:t>
      </w:r>
      <w:r>
        <w:rPr>
          <w:rFonts w:ascii="Times New Roman" w:hAnsi="Times New Roman"/>
          <w:b w:val="1"/>
          <w:bCs w:val="1"/>
          <w:sz w:val="24"/>
          <w:szCs w:val="24"/>
          <w:u w:val="single"/>
          <w:rtl w:val="0"/>
          <w:lang w:val="en-US"/>
        </w:rPr>
        <w:t>A letter from the owner indicating the scope of the business, i.e. the activities on this pier/dock as a commercial fishing wharf is requested, to include services offered relative to this structure</w:t>
      </w:r>
      <w:r>
        <w:rPr>
          <w:rFonts w:ascii="Times New Roman" w:hAnsi="Times New Roman"/>
          <w:sz w:val="24"/>
          <w:szCs w:val="24"/>
          <w:u w:val="single"/>
          <w:rtl w:val="0"/>
          <w:lang w:val="en-US"/>
        </w:rPr>
        <w:t>.</w:t>
      </w:r>
      <w:r>
        <w:rPr>
          <w:rFonts w:ascii="Times New Roman" w:hAnsi="Times New Roman"/>
          <w:sz w:val="24"/>
          <w:szCs w:val="24"/>
          <w:rtl w:val="0"/>
          <w:lang w:val="en-US"/>
        </w:rPr>
        <w:t xml:space="preserve"> Because the shed is a nonconforming structure and because it was completely demolished and is being rebuilt, </w:t>
      </w:r>
      <w:r>
        <w:rPr>
          <w:rFonts w:ascii="Times New Roman" w:hAnsi="Times New Roman"/>
          <w:b w:val="1"/>
          <w:bCs w:val="1"/>
          <w:sz w:val="24"/>
          <w:szCs w:val="24"/>
          <w:u w:val="single"/>
          <w:rtl w:val="0"/>
          <w:lang w:val="en-US"/>
        </w:rPr>
        <w:t>abutters must be notified in writing</w:t>
      </w:r>
      <w:r>
        <w:rPr>
          <w:rFonts w:ascii="Times New Roman" w:hAnsi="Times New Roman"/>
          <w:sz w:val="24"/>
          <w:szCs w:val="24"/>
          <w:rtl w:val="0"/>
          <w:lang w:val="en-US"/>
        </w:rPr>
        <w:t>.</w:t>
      </w:r>
      <w:r>
        <w:rPr>
          <w:rFonts w:ascii="Times New Roman" w:hAnsi="Times New Roman"/>
          <w:sz w:val="24"/>
          <w:szCs w:val="24"/>
          <w:rtl w:val="0"/>
          <w:lang w:val="en-US"/>
        </w:rPr>
        <w:t xml:space="preserve"> It was clarified the Planning Board can not act on an application until 14 days after abutters have been notified. US mail for notification, with proof of the sending date, or a send date on an email can act as verification of date sent. Terry motioned to table the application pending the receipt of the information identified. Lisa seconded. After no additional discussion the motion passed 5-0.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5"/>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December 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December 3,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numPr>
          <w:ilvl w:val="0"/>
          <w:numId w:val="5"/>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Review and approve the minutes of the special meetings of December 8, 2025 and December 15, 2025. Pam motioned to approve the minutes of the 12/8/25 special PB meeting and the 12/15/25 special meeting. Lisa second. After no additional discussion, the motioned past 5-0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Definitions - The definitions of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principal structures</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and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accessory structures</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were reviewed.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8:56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January 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Roman"/>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