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21</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January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Terry Taylor, David Trigg (alternate), </w:t>
        <w:tab/>
        <w:tab/>
        <w:tab/>
        <w:tab/>
        <w:tab/>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Pam Gunnell, </w:t>
        <w:tab/>
        <w:t>Rufus Brown</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Kermit Farrow (remote) Delta Oaks Group</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Sarah Clifford (remote) Revision Energy</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Peter Degnan</w:t>
      </w:r>
      <w:r>
        <w:rPr>
          <w:rFonts w:ascii="Times New Roman" w:hAnsi="Times New Roman"/>
          <w:sz w:val="24"/>
          <w:szCs w:val="24"/>
          <w:rtl w:val="0"/>
          <w:lang w:val="en-US"/>
        </w:rPr>
        <w:t>(R</w:t>
      </w:r>
      <w:r>
        <w:rPr>
          <w:rFonts w:ascii="Times New Roman" w:hAnsi="Times New Roman"/>
          <w:sz w:val="24"/>
          <w:szCs w:val="24"/>
          <w:rtl w:val="0"/>
          <w:lang w:val="en-US"/>
        </w:rPr>
        <w:t>5/23-3</w:t>
      </w:r>
      <w:r>
        <w:rPr>
          <w:rFonts w:ascii="Times New Roman" w:hAnsi="Times New Roman"/>
          <w:sz w:val="24"/>
          <w:szCs w:val="24"/>
          <w:rtl w:val="0"/>
          <w:lang w:val="en-US"/>
        </w:rPr>
        <w:t>) Applicant: S</w:t>
      </w:r>
      <w:r>
        <w:rPr>
          <w:rFonts w:ascii="Times New Roman" w:hAnsi="Times New Roman"/>
          <w:sz w:val="24"/>
          <w:szCs w:val="24"/>
          <w:rtl w:val="0"/>
          <w:lang w:val="en-US"/>
        </w:rPr>
        <w:t xml:space="preserve">arah Clifford, Revision Energy. </w:t>
      </w:r>
      <w:r>
        <w:rPr>
          <w:rFonts w:ascii="Times New Roman" w:hAnsi="Times New Roman"/>
          <w:sz w:val="24"/>
          <w:szCs w:val="24"/>
          <w:rtl w:val="0"/>
          <w:lang w:val="en-US"/>
        </w:rPr>
        <w:t xml:space="preserve">Application for a new </w:t>
      </w:r>
      <w:r>
        <w:rPr>
          <w:rFonts w:ascii="Times New Roman" w:hAnsi="Times New Roman"/>
          <w:sz w:val="24"/>
          <w:szCs w:val="24"/>
          <w:rtl w:val="0"/>
          <w:lang w:val="en-US"/>
        </w:rPr>
        <w:t xml:space="preserve">residential roof solar array, located at 33 Rotunda Hill Road. Sarah reported Peter is looking to install 50 roof mounted solar panels. The total roof area occupied by the proposed plan is 17%. </w:t>
      </w:r>
      <w:r>
        <w:rPr>
          <w:rFonts w:ascii="Times New Roman" w:hAnsi="Times New Roman"/>
          <w:sz w:val="24"/>
          <w:szCs w:val="24"/>
          <w:rtl w:val="0"/>
          <w:lang w:val="en-US"/>
        </w:rPr>
        <w:t xml:space="preserve">Terry motioned the application is complete. </w:t>
      </w:r>
      <w:r>
        <w:rPr>
          <w:rFonts w:ascii="Times New Roman" w:hAnsi="Times New Roman"/>
          <w:sz w:val="24"/>
          <w:szCs w:val="24"/>
          <w:rtl w:val="0"/>
          <w:lang w:val="en-US"/>
        </w:rPr>
        <w:t>Lisa</w:t>
      </w:r>
      <w:r>
        <w:rPr>
          <w:rFonts w:ascii="Times New Roman" w:hAnsi="Times New Roman"/>
          <w:sz w:val="24"/>
          <w:szCs w:val="24"/>
          <w:rtl w:val="0"/>
          <w:lang w:val="en-US"/>
        </w:rPr>
        <w:t xml:space="preserve"> second. After no additional discussion the motion passed 5-0. Terry motioned to approve the application for R</w:t>
      </w:r>
      <w:r>
        <w:rPr>
          <w:rFonts w:ascii="Times New Roman" w:hAnsi="Times New Roman"/>
          <w:sz w:val="24"/>
          <w:szCs w:val="24"/>
          <w:rtl w:val="0"/>
          <w:lang w:val="en-US"/>
        </w:rPr>
        <w:t>5/23-3</w:t>
      </w:r>
      <w:r>
        <w:rPr>
          <w:rFonts w:ascii="Times New Roman" w:hAnsi="Times New Roman"/>
          <w:sz w:val="24"/>
          <w:szCs w:val="24"/>
          <w:rtl w:val="0"/>
          <w:lang w:val="en-US"/>
        </w:rPr>
        <w:t xml:space="preserve"> and grant permit number 2</w:t>
      </w:r>
      <w:r>
        <w:rPr>
          <w:rFonts w:ascii="Times New Roman" w:hAnsi="Times New Roman"/>
          <w:sz w:val="24"/>
          <w:szCs w:val="24"/>
          <w:rtl w:val="0"/>
          <w:lang w:val="en-US"/>
        </w:rPr>
        <w:t>5</w:t>
      </w:r>
      <w:r>
        <w:rPr>
          <w:rFonts w:ascii="Times New Roman" w:hAnsi="Times New Roman"/>
          <w:sz w:val="24"/>
          <w:szCs w:val="24"/>
          <w:rtl w:val="0"/>
          <w:lang w:val="en-US"/>
        </w:rPr>
        <w:t>-2</w:t>
      </w:r>
      <w:r>
        <w:rPr>
          <w:rFonts w:ascii="Times New Roman" w:hAnsi="Times New Roman"/>
          <w:sz w:val="24"/>
          <w:szCs w:val="24"/>
          <w:rtl w:val="0"/>
          <w:lang w:val="en-US"/>
        </w:rPr>
        <w:t>7</w:t>
      </w:r>
      <w:r>
        <w:rPr>
          <w:rFonts w:ascii="Times New Roman" w:hAnsi="Times New Roman"/>
          <w:sz w:val="24"/>
          <w:szCs w:val="24"/>
          <w:rtl w:val="0"/>
          <w:lang w:val="en-US"/>
        </w:rPr>
        <w:t xml:space="preserve">. </w:t>
      </w:r>
      <w:r>
        <w:rPr>
          <w:rFonts w:ascii="Times New Roman" w:hAnsi="Times New Roman"/>
          <w:sz w:val="24"/>
          <w:szCs w:val="24"/>
          <w:rtl w:val="0"/>
          <w:lang w:val="en-US"/>
        </w:rPr>
        <w:t>Lisa</w:t>
      </w:r>
      <w:r>
        <w:rPr>
          <w:rFonts w:ascii="Times New Roman" w:hAnsi="Times New Roman"/>
          <w:sz w:val="24"/>
          <w:szCs w:val="24"/>
          <w:rtl w:val="0"/>
          <w:lang w:val="en-US"/>
        </w:rPr>
        <w:t xml:space="preserve"> seconded. After no additional discussion the motioned passed 5-0.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special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January 6, 2026 and regular meeting of January 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January 6, 2026 and January 8, 2026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seconded. After no additional discussion the motion passed 5-0.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a workshop to continue discussion about STRs was scheduled for 1/26/26 at 10:00.</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Definitions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Philip Francis, Sequinland Institute - a preliminary discussion on educational facilities on donated land in Georgetown. Philip shared he runs, Sequinland Institute on the family property in Georgetown. He has been offered donated land as a place to build a campus extension. He is here to begin a conversation about the possibility of establishing a campus on this property. Some of the structures proposed would be used exclusively for sleeping. Each of which could house 4 people. Three units of three are proposed with an additional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staff</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cottage. A separate cookhouse is in the plans. A building located in the center would not contain sleeping quarters. The primary structure would be the classroom, thus any dormitory structure would be accessory. The level of intent from the individuals donating the land indicates the property must be used for educational purposes. Mike shared the state now considers 5 or more </w:t>
      </w:r>
      <w:r>
        <w:rPr>
          <w:rFonts w:ascii="Times New Roman" w:hAnsi="Times New Roman"/>
          <w:outline w:val="0"/>
          <w:color w:val="111111"/>
          <w:sz w:val="24"/>
          <w:szCs w:val="24"/>
          <w:u w:val="single" w:color="111111"/>
          <w:rtl w:val="0"/>
          <w:lang w:val="en-US"/>
          <w14:textFill>
            <w14:solidFill>
              <w14:srgbClr w14:val="111111"/>
            </w14:solidFill>
          </w14:textFill>
        </w:rPr>
        <w:t>structures</w:t>
      </w:r>
      <w:r>
        <w:rPr>
          <w:rFonts w:ascii="Times New Roman" w:hAnsi="Times New Roman"/>
          <w:outline w:val="0"/>
          <w:color w:val="111111"/>
          <w:sz w:val="24"/>
          <w:szCs w:val="24"/>
          <w:u w:color="111111"/>
          <w:rtl w:val="0"/>
          <w:lang w:val="en-US"/>
          <w14:textFill>
            <w14:solidFill>
              <w14:srgbClr w14:val="111111"/>
            </w14:solidFill>
          </w14:textFill>
        </w:rPr>
        <w:t xml:space="preserve"> on one lot to be a subdivision. As proposed, this would be a nonprofit, educational institute. The current school operates during a Fall, January, and Spring term, and a May term. There is currently no summer program as the spaces are rented during the summer months. The new, proposed campus would be used throughout the year. Access to the land would be over an existing driveway via a right away that is 10</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wide, off Rte 127. It is approximately 1/2 mile in to the site. It was noted a state permit will be required for the driveway because it will be a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change of use</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 That must be done before town permitting can occur. It was suggested a 2 lane road is needed to accommodate traffic and emergency vehicles however, there is nothing in writing that dictates this from the town standpoint. Philip has not yet looked into state requirements/licensing for an educational facility. It was noted the land is in the limited residential zone/shoreland zone. Philip has not yet looked into septic systems or water resources. A site evaluator to look over the property for the purpose of a septic design was recommended by Mike. He noted bunkhouses are expected to use 20 gallons of water per day per bed. It was noted a laundry area may be in the plans. Mike noted a laundry facility involves significant water use. The property has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steep slopes</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The set back requirement requires one must come up to the top of the steep slope and begin measurement from there. Seventy-five feet from the steep slope is required. This project will fall within the Shoreland Zoning Ordinance. Therefore, it was recommended Philip review that ordinance. Philip stated any tree house structures will be no higher than 35</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Charles/Catherine Collins (R6/17) - Applicant: Delta Oaks Group, PLLC. Pre-Application for the replacement of a wireless tower at 425 Bay Point Road. Kermit Farrow reported there is currently a monopole on the property and a 30</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x30</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compound. They plan to replacing that structure and enlarge the compound to 50</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x50</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The tower as proposed will expand carrier capability. There are currently 3 carriers which will transfer to the new tower. The new tower will allow for two additional carriers, and will improve coverage. This project will involve tearing down the current tower. That will not occur until the new tower is put into place. This is considered an existing facility. Therefore, the project will be a modification of an existing tower. The checklist for modification for an existing WCF checklist will be used as part of the pre-application process. It was noted, the pre application process must occur at least 30 days before an application is submitted. A site inspection must occur by members of the Planning Board and was scheduled for Tuesday 1/27/26 at 2:00. Crown Castle will be the owner of the tower, leasing to the various carriers. Crown Castle is already leasing this site from Charles Collins. The board reviewed the Checklist for Modification to an Existing WCF (Section 9) The following was decided: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9)A)3)a) General - numbers 1, 2, 3 and 5 are required - number 4 is not</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9)A)3)b) Tower and site - number 1 is required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9)A)3)c) Construction Documents - numbers 3 and 4 are required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9)A)3)d) Lot Assessment - numbers 1 and 2 are not required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9)A)3)e) Location - number 1 is not required, number 2 is required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 xml:space="preserve">Section 9)A)3)f) Finish and Color - the only item in that section -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Suitably finished so as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ab/>
        <w:tab/>
        <w:t xml:space="preserve">    to minimize their visual impact</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is required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9)A)3)g) Space and Bulk Requirements - numbers 1 and 2 are required</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9)A)3)2) Structural Design Standards - items a and b are required, c and d are not</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 xml:space="preserve">Section 9)A)C)3) Radiation Standards - the only item in that section -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Potentially </w:t>
        <w:tab/>
        <w:tab/>
        <w:tab/>
        <w:tab/>
        <w:t xml:space="preserve">              </w:t>
        <w:tab/>
        <w:t xml:space="preserve">    hazardous radiation is controlled</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 is required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cs="Times New Roman" w:hAnsi="Times New Roman" w:eastAsia="Times New Roman"/>
          <w:outline w:val="0"/>
          <w:color w:val="111111"/>
          <w:sz w:val="24"/>
          <w:szCs w:val="24"/>
          <w:u w:color="111111"/>
          <w:rtl w:val="0"/>
          <w14:textFill>
            <w14:solidFill>
              <w14:srgbClr w14:val="111111"/>
            </w14:solidFill>
          </w14:textFill>
        </w:rPr>
        <w:tab/>
        <w:t>Section 9)C)4).    Aesthetics - items a and e are required. Items b, c, and d are not.</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 motioned to adjourn the meeting at 8:2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seconded the motion. After no additional discussion the motion passed 5-0.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February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