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27</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February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Taylor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w:t>
        <w:tab/>
        <w:tab/>
        <w:tab/>
        <w:tab/>
        <w:tab/>
        <w:tab/>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Gunnell</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David Trigg  (alternate) Terry Taylor, Rufus Brown</w:t>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Allison Freeman (remote)</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Bob Trabona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called the Planning Board meeting to order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9:05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4"/>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The proposed draft of the STR Ordinance last edited on 2/23/26 was reviewed. There was discussion about whether or not a certificate of insurance should be a mandated as a requirement of the application. </w:t>
      </w:r>
      <w:r>
        <w:rPr>
          <w:rFonts w:ascii="Times New Roman" w:hAnsi="Times New Roman"/>
          <w:outline w:val="0"/>
          <w:color w:val="111111"/>
          <w:sz w:val="24"/>
          <w:szCs w:val="24"/>
          <w:u w:color="111111"/>
          <w:rtl w:val="0"/>
          <w:lang w:val="en-US"/>
          <w14:textFill>
            <w14:solidFill>
              <w14:srgbClr w14:val="111111"/>
            </w14:solidFill>
          </w14:textFill>
        </w:rPr>
        <w:t xml:space="preserve">Three members of the Planning Board voted to leave 8.3 in the ordinance, therefore, a decision was made to do so. </w:t>
      </w:r>
      <w:r>
        <w:rPr>
          <w:rFonts w:ascii="Times New Roman" w:hAnsi="Times New Roman"/>
          <w:outline w:val="0"/>
          <w:color w:val="111111"/>
          <w:sz w:val="24"/>
          <w:szCs w:val="24"/>
          <w:u w:color="111111"/>
          <w:rtl w:val="0"/>
          <w:lang w:val="en-US"/>
          <w14:textFill>
            <w14:solidFill>
              <w14:srgbClr w14:val="111111"/>
            </w14:solidFill>
          </w14:textFill>
        </w:rPr>
        <w:t>It was decided 8.3 ( addresses this topic) will be left in the ordinance, but will be discussed with the Select Board when the ordinance is presented to them. The Board completed review of the STR Ordinance. Bob will make changes noting them in red. The final copy will be reviewed for approval at the next regularly scheduled Planning Board meeting. There was discussion about whether or not to recommend a moratorium on new short term rentals owned by individuals whose primary residence is not Georgetown. It was suggested when the STR Ordinance is presented to the Select Board a discussion about a moratorium occur. The draft to be sent out for review will have ONLY today</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 changes in red. The rest will be in black.</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A. Bob reported he received a phone call from someone who is looking to purchase a piece of property that currently has a single family residence. They asked if a single family could be turned into a multi-family residence. The person reported he and wife were planning to live in the house. He was considering making the structure into a 3 unit dwelling.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10:20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March 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